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1" w:name="_GoBack"/>
      <w:bookmarkEnd w:id="1"/>
      <w:bookmarkStart w:id="0" w:name="_Toc48516304"/>
      <w:r>
        <w:rPr>
          <w:rFonts w:hint="eastAsia"/>
          <w:b/>
          <w:bCs/>
        </w:rPr>
        <w:t>附件</w:t>
      </w:r>
      <w:r>
        <w:rPr>
          <w:rFonts w:hint="eastAsia"/>
          <w:b/>
          <w:bCs/>
          <w:lang w:val="en-US" w:eastAsia="zh-CN"/>
        </w:rPr>
        <w:t>1</w:t>
      </w:r>
      <w:r>
        <w:rPr>
          <w:rFonts w:hint="eastAsia"/>
          <w:b/>
          <w:bCs/>
        </w:rPr>
        <w:t xml:space="preserve"> </w:t>
      </w:r>
    </w:p>
    <w:p>
      <w:pPr>
        <w:spacing w:after="156" w:afterLines="50"/>
        <w:jc w:val="center"/>
        <w:rPr>
          <w:b/>
          <w:bCs/>
          <w:sz w:val="28"/>
          <w:szCs w:val="28"/>
        </w:rPr>
      </w:pPr>
      <w:r>
        <w:rPr>
          <w:rFonts w:hint="eastAsia"/>
          <w:b/>
          <w:bCs/>
          <w:sz w:val="28"/>
          <w:szCs w:val="28"/>
        </w:rPr>
        <w:t>参选银行须知</w:t>
      </w:r>
      <w:bookmarkEnd w:id="0"/>
    </w:p>
    <w:p>
      <w:pPr>
        <w:spacing w:line="360" w:lineRule="auto"/>
        <w:ind w:firstLine="422" w:firstLineChars="200"/>
        <w:rPr>
          <w:b/>
        </w:rPr>
      </w:pPr>
      <w:r>
        <w:rPr>
          <w:rFonts w:hint="eastAsia"/>
          <w:b/>
        </w:rPr>
        <w:t>一、参选银行</w:t>
      </w:r>
    </w:p>
    <w:p>
      <w:pPr>
        <w:pStyle w:val="17"/>
        <w:numPr>
          <w:ilvl w:val="0"/>
          <w:numId w:val="1"/>
        </w:numPr>
        <w:spacing w:line="360" w:lineRule="auto"/>
        <w:ind w:firstLineChars="0"/>
        <w:rPr>
          <w:b/>
        </w:rPr>
      </w:pPr>
      <w:r>
        <w:rPr>
          <w:rFonts w:hint="eastAsia"/>
          <w:b/>
        </w:rPr>
        <w:t>合格的参选银行（应符合以下全部条件）</w:t>
      </w:r>
    </w:p>
    <w:p>
      <w:pPr>
        <w:pStyle w:val="17"/>
        <w:spacing w:line="360" w:lineRule="auto"/>
        <w:ind w:left="842" w:firstLine="0" w:firstLineChars="0"/>
        <w:rPr>
          <w:b/>
        </w:rPr>
      </w:pPr>
      <w:r>
        <w:rPr>
          <w:rFonts w:hint="eastAsia"/>
        </w:rPr>
        <w:t>符合遴选公告第二条“参选银行资格要求”的全部条件。</w:t>
      </w:r>
    </w:p>
    <w:p>
      <w:pPr>
        <w:pStyle w:val="17"/>
        <w:numPr>
          <w:ilvl w:val="0"/>
          <w:numId w:val="1"/>
        </w:numPr>
        <w:spacing w:line="360" w:lineRule="auto"/>
        <w:ind w:firstLineChars="0"/>
        <w:rPr>
          <w:rFonts w:ascii="Times New Roman" w:hAnsi="Times New Roman"/>
          <w:b/>
          <w:szCs w:val="20"/>
        </w:rPr>
      </w:pPr>
      <w:r>
        <w:rPr>
          <w:rFonts w:hint="eastAsia"/>
          <w:b/>
        </w:rPr>
        <w:t>参选授权</w:t>
      </w:r>
    </w:p>
    <w:p>
      <w:pPr>
        <w:pStyle w:val="17"/>
        <w:spacing w:line="360" w:lineRule="auto"/>
        <w:ind w:left="842" w:firstLine="0" w:firstLineChars="0"/>
        <w:rPr>
          <w:rFonts w:ascii="Times New Roman" w:hAnsi="Times New Roman"/>
          <w:b/>
          <w:szCs w:val="20"/>
        </w:rPr>
      </w:pPr>
      <w:r>
        <w:rPr>
          <w:rFonts w:hint="eastAsia"/>
        </w:rPr>
        <w:t>如参选银行代表非法定代表人或机构负责人，</w:t>
      </w:r>
      <w:r>
        <w:rPr>
          <w:rFonts w:hint="eastAsia" w:ascii="宋体" w:hAnsi="宋体"/>
          <w:szCs w:val="21"/>
        </w:rPr>
        <w:t>须持有《法定代表人（或机构负责人）授权书》，由法定代表人或机构负责人授权(详见附件</w:t>
      </w:r>
      <w:r>
        <w:rPr>
          <w:rFonts w:hint="eastAsia" w:ascii="宋体" w:hAnsi="宋体"/>
          <w:szCs w:val="21"/>
          <w:lang w:val="en-US" w:eastAsia="zh-CN"/>
        </w:rPr>
        <w:t>4</w:t>
      </w:r>
      <w:r>
        <w:rPr>
          <w:rFonts w:hint="eastAsia" w:ascii="宋体" w:hAnsi="宋体"/>
          <w:szCs w:val="21"/>
        </w:rPr>
        <w:t>)。</w:t>
      </w:r>
    </w:p>
    <w:p>
      <w:pPr>
        <w:spacing w:line="360" w:lineRule="auto"/>
        <w:ind w:firstLine="435"/>
        <w:rPr>
          <w:rFonts w:ascii="宋体" w:hAnsi="宋体"/>
          <w:szCs w:val="21"/>
        </w:rPr>
      </w:pPr>
    </w:p>
    <w:p>
      <w:pPr>
        <w:spacing w:line="360" w:lineRule="auto"/>
        <w:ind w:firstLine="435"/>
        <w:rPr>
          <w:b/>
        </w:rPr>
      </w:pPr>
      <w:r>
        <w:rPr>
          <w:rFonts w:hint="eastAsia" w:ascii="宋体" w:hAnsi="宋体"/>
          <w:b/>
          <w:szCs w:val="21"/>
        </w:rPr>
        <w:t>二、</w:t>
      </w:r>
      <w:r>
        <w:rPr>
          <w:rFonts w:hint="eastAsia"/>
          <w:b/>
        </w:rPr>
        <w:t>评选文件</w:t>
      </w:r>
    </w:p>
    <w:p>
      <w:pPr>
        <w:pStyle w:val="17"/>
        <w:numPr>
          <w:ilvl w:val="0"/>
          <w:numId w:val="2"/>
        </w:numPr>
        <w:spacing w:line="360" w:lineRule="auto"/>
        <w:ind w:firstLineChars="0"/>
        <w:rPr>
          <w:b/>
        </w:rPr>
      </w:pPr>
      <w:r>
        <w:rPr>
          <w:rFonts w:hint="eastAsia" w:ascii="宋体" w:hAnsi="宋体"/>
          <w:b/>
          <w:szCs w:val="21"/>
        </w:rPr>
        <w:t>评选文件的说明</w:t>
      </w:r>
    </w:p>
    <w:p>
      <w:pPr>
        <w:pStyle w:val="17"/>
        <w:numPr>
          <w:ilvl w:val="0"/>
          <w:numId w:val="3"/>
        </w:numPr>
        <w:spacing w:line="360" w:lineRule="auto"/>
        <w:ind w:firstLineChars="0"/>
      </w:pPr>
      <w:r>
        <w:rPr>
          <w:rFonts w:hint="eastAsia"/>
        </w:rPr>
        <w:t>评选文件由遴选通知及附件所列内容组成。</w:t>
      </w:r>
    </w:p>
    <w:p>
      <w:pPr>
        <w:pStyle w:val="17"/>
        <w:numPr>
          <w:ilvl w:val="0"/>
          <w:numId w:val="3"/>
        </w:numPr>
        <w:spacing w:line="360" w:lineRule="auto"/>
        <w:ind w:firstLineChars="0"/>
      </w:pPr>
      <w:r>
        <w:rPr>
          <w:rFonts w:hint="eastAsia"/>
        </w:rPr>
        <w:t>参选银行未按评选文件要求提供全部资料或提交的参选文件未对评选文件做出实质性响应，</w:t>
      </w:r>
      <w:r>
        <w:rPr>
          <w:rFonts w:hint="eastAsia" w:ascii="宋体" w:hAnsi="宋体"/>
          <w:szCs w:val="21"/>
        </w:rPr>
        <w:t>参选银行将承担由此产生的风险并有可能导致参选文件被拒绝。</w:t>
      </w:r>
    </w:p>
    <w:p>
      <w:pPr>
        <w:pStyle w:val="17"/>
        <w:numPr>
          <w:ilvl w:val="0"/>
          <w:numId w:val="2"/>
        </w:numPr>
        <w:spacing w:line="360" w:lineRule="auto"/>
        <w:ind w:firstLineChars="0"/>
        <w:rPr>
          <w:rFonts w:ascii="Times New Roman" w:hAnsi="Times New Roman"/>
          <w:b/>
          <w:szCs w:val="20"/>
        </w:rPr>
      </w:pPr>
      <w:r>
        <w:rPr>
          <w:rFonts w:hint="eastAsia"/>
          <w:b/>
        </w:rPr>
        <w:t>评选文件的澄清</w:t>
      </w:r>
    </w:p>
    <w:p>
      <w:pPr>
        <w:pStyle w:val="17"/>
        <w:numPr>
          <w:ilvl w:val="0"/>
          <w:numId w:val="4"/>
        </w:numPr>
        <w:spacing w:line="360" w:lineRule="auto"/>
        <w:ind w:firstLineChars="0"/>
        <w:rPr>
          <w:rFonts w:ascii="宋体" w:hAnsi="宋体"/>
          <w:szCs w:val="21"/>
        </w:rPr>
      </w:pPr>
      <w:r>
        <w:rPr>
          <w:rFonts w:hint="eastAsia" w:ascii="宋体" w:hAnsi="宋体"/>
          <w:szCs w:val="21"/>
        </w:rPr>
        <w:t>对评选文件的未尽事项，以</w:t>
      </w:r>
      <w:r>
        <w:rPr>
          <w:rStyle w:val="14"/>
          <w:rFonts w:hint="eastAsia"/>
        </w:rPr>
        <w:t>深圳市宝安区产业投资引导基金有限公司</w:t>
      </w:r>
      <w:r>
        <w:rPr>
          <w:rFonts w:hint="eastAsia" w:ascii="宋体" w:hAnsi="宋体"/>
          <w:szCs w:val="21"/>
        </w:rPr>
        <w:t>官方回复为准。</w:t>
      </w:r>
    </w:p>
    <w:p>
      <w:pPr>
        <w:pStyle w:val="17"/>
        <w:numPr>
          <w:ilvl w:val="0"/>
          <w:numId w:val="2"/>
        </w:numPr>
        <w:spacing w:line="360" w:lineRule="auto"/>
        <w:ind w:firstLineChars="0"/>
        <w:rPr>
          <w:rFonts w:ascii="Times New Roman" w:hAnsi="Times New Roman"/>
          <w:b/>
          <w:szCs w:val="20"/>
        </w:rPr>
      </w:pPr>
      <w:r>
        <w:rPr>
          <w:rFonts w:hint="eastAsia"/>
          <w:b/>
        </w:rPr>
        <w:t>评选文件的修改</w:t>
      </w:r>
    </w:p>
    <w:p>
      <w:pPr>
        <w:pStyle w:val="17"/>
        <w:numPr>
          <w:ilvl w:val="0"/>
          <w:numId w:val="5"/>
        </w:numPr>
        <w:spacing w:line="360" w:lineRule="auto"/>
        <w:ind w:firstLineChars="0"/>
      </w:pPr>
      <w:r>
        <w:rPr>
          <w:rFonts w:hint="eastAsia" w:ascii="宋体" w:hAnsi="宋体"/>
          <w:szCs w:val="21"/>
        </w:rPr>
        <w:t>在递交截止期前一个工作日，</w:t>
      </w:r>
      <w:r>
        <w:rPr>
          <w:rStyle w:val="14"/>
          <w:rFonts w:hint="eastAsia"/>
        </w:rPr>
        <w:t>深圳市宝安区产业投资引导基金有限公司</w:t>
      </w:r>
      <w:r>
        <w:rPr>
          <w:rFonts w:hint="eastAsia" w:ascii="宋体" w:hAnsi="宋体"/>
          <w:szCs w:val="21"/>
        </w:rPr>
        <w:t>可主动地或依据参选银行要求澄清的问题而修改评选文件，并以书面形式通知所有参选银行，参选银行在收到该通知后应立即以书面形式确认。</w:t>
      </w:r>
    </w:p>
    <w:p>
      <w:pPr>
        <w:pStyle w:val="17"/>
        <w:numPr>
          <w:ilvl w:val="0"/>
          <w:numId w:val="5"/>
        </w:numPr>
        <w:spacing w:line="360" w:lineRule="auto"/>
        <w:ind w:firstLineChars="0"/>
      </w:pPr>
      <w:r>
        <w:rPr>
          <w:rFonts w:hint="eastAsia" w:ascii="宋体" w:hAnsi="宋体"/>
          <w:szCs w:val="21"/>
        </w:rPr>
        <w:t>评选文件的修改通知作为评选文件的组成部分，对参选银行具有约束力。</w:t>
      </w:r>
    </w:p>
    <w:p>
      <w:pPr>
        <w:pStyle w:val="17"/>
        <w:numPr>
          <w:ilvl w:val="0"/>
          <w:numId w:val="5"/>
        </w:numPr>
        <w:spacing w:line="360" w:lineRule="auto"/>
        <w:ind w:firstLineChars="0"/>
      </w:pPr>
      <w:r>
        <w:rPr>
          <w:rFonts w:hint="eastAsia" w:ascii="宋体" w:hAnsi="宋体"/>
          <w:szCs w:val="21"/>
        </w:rPr>
        <w:t>参选银行在收到评选文件修改的书面通知后须在规定时间内以书面形式向</w:t>
      </w:r>
      <w:r>
        <w:rPr>
          <w:rStyle w:val="14"/>
          <w:rFonts w:hint="eastAsia"/>
        </w:rPr>
        <w:t>深圳市宝安区产业投资引导基金有限公司</w:t>
      </w:r>
      <w:r>
        <w:rPr>
          <w:rFonts w:hint="eastAsia" w:ascii="宋体" w:hAnsi="宋体"/>
          <w:szCs w:val="21"/>
        </w:rPr>
        <w:t>回函确认。确认函正本为参选文件的组成部分。</w:t>
      </w:r>
    </w:p>
    <w:p>
      <w:pPr>
        <w:spacing w:line="360" w:lineRule="auto"/>
      </w:pPr>
    </w:p>
    <w:p>
      <w:pPr>
        <w:spacing w:line="360" w:lineRule="auto"/>
        <w:ind w:firstLine="435"/>
        <w:rPr>
          <w:rFonts w:ascii="宋体" w:hAnsi="宋体"/>
          <w:szCs w:val="21"/>
        </w:rPr>
      </w:pPr>
      <w:r>
        <w:rPr>
          <w:rFonts w:hint="eastAsia" w:ascii="宋体" w:hAnsi="宋体"/>
          <w:b/>
          <w:szCs w:val="21"/>
        </w:rPr>
        <w:t>三、</w:t>
      </w:r>
      <w:r>
        <w:rPr>
          <w:rFonts w:hint="eastAsia"/>
          <w:b/>
        </w:rPr>
        <w:t>参选文件</w:t>
      </w:r>
    </w:p>
    <w:p>
      <w:pPr>
        <w:pStyle w:val="17"/>
        <w:numPr>
          <w:ilvl w:val="0"/>
          <w:numId w:val="6"/>
        </w:numPr>
        <w:spacing w:line="360" w:lineRule="auto"/>
        <w:ind w:firstLineChars="0"/>
        <w:rPr>
          <w:b/>
        </w:rPr>
      </w:pPr>
      <w:r>
        <w:rPr>
          <w:rFonts w:hint="eastAsia"/>
          <w:b/>
        </w:rPr>
        <w:t>参选文件的语言及计量单位</w:t>
      </w:r>
    </w:p>
    <w:p>
      <w:pPr>
        <w:pStyle w:val="17"/>
        <w:numPr>
          <w:ilvl w:val="0"/>
          <w:numId w:val="7"/>
        </w:numPr>
        <w:spacing w:before="156" w:beforeLines="50" w:line="360" w:lineRule="auto"/>
        <w:ind w:firstLineChars="0"/>
        <w:rPr>
          <w:rFonts w:ascii="宋体" w:hAnsi="宋体"/>
          <w:szCs w:val="21"/>
        </w:rPr>
      </w:pPr>
      <w:r>
        <w:rPr>
          <w:rFonts w:hint="eastAsia" w:ascii="宋体" w:hAnsi="宋体"/>
          <w:szCs w:val="21"/>
        </w:rPr>
        <w:t>参选银行提交的参选文件以及参选银行与评选人就有关参选与评选的所有往来信函均应使用中文书写。</w:t>
      </w:r>
    </w:p>
    <w:p>
      <w:pPr>
        <w:pStyle w:val="17"/>
        <w:numPr>
          <w:ilvl w:val="0"/>
          <w:numId w:val="7"/>
        </w:numPr>
        <w:spacing w:before="156" w:beforeLines="50" w:line="360" w:lineRule="auto"/>
        <w:ind w:firstLineChars="0"/>
        <w:rPr>
          <w:rFonts w:ascii="宋体" w:hAnsi="宋体"/>
          <w:szCs w:val="21"/>
        </w:rPr>
      </w:pPr>
      <w:r>
        <w:rPr>
          <w:rFonts w:hint="eastAsia" w:ascii="宋体" w:hAnsi="宋体"/>
          <w:szCs w:val="21"/>
        </w:rPr>
        <w:t>参选文件中所使用的计量单位，除特殊要求外，应采用国家法定计量单位。</w:t>
      </w:r>
    </w:p>
    <w:p>
      <w:pPr>
        <w:pStyle w:val="17"/>
        <w:numPr>
          <w:ilvl w:val="0"/>
          <w:numId w:val="6"/>
        </w:numPr>
        <w:spacing w:line="360" w:lineRule="auto"/>
        <w:ind w:firstLineChars="0"/>
        <w:rPr>
          <w:b/>
        </w:rPr>
      </w:pPr>
      <w:r>
        <w:rPr>
          <w:rFonts w:hint="eastAsia"/>
          <w:b/>
        </w:rPr>
        <w:t>参选文件的组成（格式见附件</w:t>
      </w:r>
      <w:r>
        <w:rPr>
          <w:rFonts w:hint="eastAsia"/>
          <w:b/>
          <w:lang w:val="en-US" w:eastAsia="zh-CN"/>
        </w:rPr>
        <w:t>4</w:t>
      </w:r>
      <w:r>
        <w:rPr>
          <w:rFonts w:hint="eastAsia"/>
          <w:b/>
        </w:rPr>
        <w:t>）</w:t>
      </w:r>
    </w:p>
    <w:p>
      <w:pPr>
        <w:pStyle w:val="17"/>
        <w:numPr>
          <w:ilvl w:val="0"/>
          <w:numId w:val="8"/>
        </w:numPr>
        <w:spacing w:line="360" w:lineRule="auto"/>
        <w:ind w:firstLineChars="0"/>
      </w:pPr>
      <w:r>
        <w:rPr>
          <w:rFonts w:hint="eastAsia"/>
        </w:rPr>
        <w:t>参选函；</w:t>
      </w:r>
    </w:p>
    <w:p>
      <w:pPr>
        <w:pStyle w:val="17"/>
        <w:numPr>
          <w:ilvl w:val="0"/>
          <w:numId w:val="8"/>
        </w:numPr>
        <w:spacing w:line="360" w:lineRule="auto"/>
        <w:ind w:firstLineChars="0"/>
      </w:pPr>
      <w:r>
        <w:rPr>
          <w:rFonts w:hint="eastAsia"/>
        </w:rPr>
        <w:t>评选一览表（请各参选机构依据</w:t>
      </w:r>
      <w:r>
        <w:rPr>
          <w:rFonts w:hint="eastAsia"/>
          <w:b/>
        </w:rPr>
        <w:t>附件</w:t>
      </w:r>
      <w:r>
        <w:rPr>
          <w:rFonts w:hint="eastAsia"/>
          <w:b/>
          <w:lang w:val="en-US" w:eastAsia="zh-CN"/>
        </w:rPr>
        <w:t>3</w:t>
      </w:r>
      <w:r>
        <w:rPr>
          <w:rFonts w:hint="eastAsia"/>
          <w:b/>
        </w:rPr>
        <w:t>中评分参考以及说明事项</w:t>
      </w:r>
      <w:r>
        <w:rPr>
          <w:rFonts w:hint="eastAsia"/>
        </w:rPr>
        <w:t>如实进行填报）；</w:t>
      </w:r>
    </w:p>
    <w:p>
      <w:pPr>
        <w:pStyle w:val="17"/>
        <w:numPr>
          <w:ilvl w:val="0"/>
          <w:numId w:val="8"/>
        </w:numPr>
        <w:spacing w:line="360" w:lineRule="auto"/>
        <w:ind w:firstLineChars="0"/>
      </w:pPr>
      <w:r>
        <w:rPr>
          <w:rFonts w:hint="eastAsia"/>
        </w:rPr>
        <w:t>参选保证书；</w:t>
      </w:r>
    </w:p>
    <w:p>
      <w:pPr>
        <w:pStyle w:val="17"/>
        <w:numPr>
          <w:ilvl w:val="0"/>
          <w:numId w:val="8"/>
        </w:numPr>
        <w:spacing w:line="360" w:lineRule="auto"/>
        <w:ind w:firstLineChars="0"/>
      </w:pPr>
      <w:r>
        <w:rPr>
          <w:rFonts w:hint="eastAsia"/>
        </w:rPr>
        <w:t>法定代表人（或机构负责人）授权书；</w:t>
      </w:r>
    </w:p>
    <w:p>
      <w:pPr>
        <w:pStyle w:val="17"/>
        <w:numPr>
          <w:ilvl w:val="0"/>
          <w:numId w:val="8"/>
        </w:numPr>
        <w:spacing w:line="360" w:lineRule="auto"/>
        <w:ind w:firstLineChars="0"/>
      </w:pPr>
      <w:r>
        <w:rPr>
          <w:rFonts w:hint="eastAsia"/>
        </w:rPr>
        <w:t>营业执照副本复印件；</w:t>
      </w:r>
    </w:p>
    <w:p>
      <w:pPr>
        <w:pStyle w:val="17"/>
        <w:numPr>
          <w:ilvl w:val="0"/>
          <w:numId w:val="8"/>
        </w:numPr>
        <w:spacing w:line="360" w:lineRule="auto"/>
        <w:ind w:firstLineChars="0"/>
      </w:pPr>
      <w:r>
        <w:rPr>
          <w:rFonts w:hint="eastAsia"/>
        </w:rPr>
        <w:t>托管协议、完税证明等文件。</w:t>
      </w:r>
    </w:p>
    <w:p>
      <w:pPr>
        <w:spacing w:line="360" w:lineRule="auto"/>
      </w:pPr>
    </w:p>
    <w:p>
      <w:pPr>
        <w:pStyle w:val="17"/>
        <w:numPr>
          <w:ilvl w:val="0"/>
          <w:numId w:val="6"/>
        </w:numPr>
        <w:spacing w:line="360" w:lineRule="auto"/>
        <w:ind w:firstLineChars="0"/>
        <w:rPr>
          <w:b/>
        </w:rPr>
      </w:pPr>
      <w:r>
        <w:rPr>
          <w:rFonts w:hint="eastAsia"/>
          <w:b/>
        </w:rPr>
        <w:t>参选文件的要求</w:t>
      </w:r>
    </w:p>
    <w:p>
      <w:pPr>
        <w:pStyle w:val="17"/>
        <w:numPr>
          <w:ilvl w:val="0"/>
          <w:numId w:val="9"/>
        </w:numPr>
        <w:spacing w:line="360" w:lineRule="auto"/>
        <w:ind w:firstLineChars="0"/>
      </w:pPr>
      <w:r>
        <w:rPr>
          <w:rFonts w:hint="eastAsia"/>
        </w:rPr>
        <w:t>参选文件应至少自评选之日起</w:t>
      </w:r>
      <w:r>
        <w:rPr>
          <w:rFonts w:hint="eastAsia" w:asciiTheme="minorEastAsia" w:hAnsiTheme="minorEastAsia" w:eastAsiaTheme="minorEastAsia"/>
        </w:rPr>
        <w:t>90</w:t>
      </w:r>
      <w:r>
        <w:rPr>
          <w:rFonts w:hint="eastAsia"/>
        </w:rPr>
        <w:t>个日历日内保持有效，短于此规定期限参选文件将被拒绝参与评选。</w:t>
      </w:r>
    </w:p>
    <w:p>
      <w:pPr>
        <w:pStyle w:val="17"/>
        <w:numPr>
          <w:ilvl w:val="0"/>
          <w:numId w:val="9"/>
        </w:numPr>
        <w:spacing w:line="360" w:lineRule="auto"/>
        <w:ind w:firstLineChars="0"/>
      </w:pPr>
      <w:r>
        <w:rPr>
          <w:rFonts w:hint="eastAsia" w:ascii="宋体" w:hAnsi="宋体"/>
          <w:szCs w:val="21"/>
        </w:rPr>
        <w:t>参选文件必须由法定代表人（机构负责人）或法定代表人（机构负责人）授权代表签署。</w:t>
      </w:r>
    </w:p>
    <w:p>
      <w:pPr>
        <w:pStyle w:val="17"/>
        <w:numPr>
          <w:ilvl w:val="0"/>
          <w:numId w:val="9"/>
        </w:numPr>
        <w:spacing w:line="360" w:lineRule="auto"/>
        <w:ind w:firstLineChars="0"/>
      </w:pPr>
      <w:r>
        <w:rPr>
          <w:rFonts w:hint="eastAsia"/>
        </w:rPr>
        <w:t>参选文件一式二份，其中正本一份，副本一份。若正本与副本不符，则以正本为准。</w:t>
      </w:r>
    </w:p>
    <w:p>
      <w:pPr>
        <w:pStyle w:val="17"/>
        <w:numPr>
          <w:ilvl w:val="0"/>
          <w:numId w:val="9"/>
        </w:numPr>
        <w:spacing w:line="360" w:lineRule="auto"/>
        <w:ind w:firstLineChars="0"/>
      </w:pPr>
      <w:r>
        <w:rPr>
          <w:rFonts w:hint="eastAsia"/>
        </w:rPr>
        <w:t>参选文件不得涂改或增删，因字迹潦草或表达不清晰引起的后果由参选银行负责。</w:t>
      </w:r>
    </w:p>
    <w:p>
      <w:pPr>
        <w:pStyle w:val="17"/>
        <w:numPr>
          <w:ilvl w:val="0"/>
          <w:numId w:val="9"/>
        </w:numPr>
        <w:spacing w:line="360" w:lineRule="auto"/>
        <w:ind w:firstLineChars="0"/>
      </w:pPr>
      <w:r>
        <w:rPr>
          <w:rFonts w:hint="eastAsia"/>
        </w:rPr>
        <w:t>参选文件正副共一式二份装于密封袋内。封口处应有参选授权代表的签字及参选单位公章。封皮上需写明参选项目名称、参选银行名称，并注明“参选文件”、“在（评选日期、时间）之前不得启封”等字样。</w:t>
      </w:r>
    </w:p>
    <w:p>
      <w:pPr>
        <w:pStyle w:val="17"/>
        <w:numPr>
          <w:ilvl w:val="0"/>
          <w:numId w:val="9"/>
        </w:numPr>
        <w:spacing w:line="360" w:lineRule="auto"/>
        <w:ind w:firstLineChars="0"/>
      </w:pPr>
      <w:r>
        <w:rPr>
          <w:rFonts w:hint="eastAsia"/>
        </w:rPr>
        <w:t>若参选银行未按上述要求进行密封及加写标记，评选人对参选文件的误投和提前启封概不负责。</w:t>
      </w:r>
    </w:p>
    <w:p>
      <w:pPr>
        <w:spacing w:line="360" w:lineRule="auto"/>
      </w:pPr>
    </w:p>
    <w:p>
      <w:pPr>
        <w:pStyle w:val="17"/>
        <w:numPr>
          <w:ilvl w:val="0"/>
          <w:numId w:val="6"/>
        </w:numPr>
        <w:spacing w:line="360" w:lineRule="auto"/>
        <w:ind w:firstLineChars="0"/>
        <w:rPr>
          <w:b/>
        </w:rPr>
      </w:pPr>
      <w:r>
        <w:rPr>
          <w:rFonts w:hint="eastAsia"/>
          <w:b/>
        </w:rPr>
        <w:t>参选文件的修改和撤回</w:t>
      </w:r>
    </w:p>
    <w:p>
      <w:pPr>
        <w:pStyle w:val="17"/>
        <w:numPr>
          <w:ilvl w:val="0"/>
          <w:numId w:val="10"/>
        </w:numPr>
        <w:spacing w:line="360" w:lineRule="auto"/>
        <w:ind w:firstLineChars="0"/>
      </w:pPr>
      <w:r>
        <w:rPr>
          <w:rFonts w:hint="eastAsia"/>
        </w:rPr>
        <w:t>参选文件必须在递交截止时间前送达到指定地点，评选人有权拒收递交截止时间之后送达的参选文件。</w:t>
      </w:r>
    </w:p>
    <w:p>
      <w:pPr>
        <w:pStyle w:val="17"/>
        <w:numPr>
          <w:ilvl w:val="0"/>
          <w:numId w:val="10"/>
        </w:numPr>
        <w:spacing w:line="360" w:lineRule="auto"/>
        <w:ind w:firstLineChars="0"/>
      </w:pPr>
      <w:r>
        <w:rPr>
          <w:rFonts w:hint="eastAsia"/>
        </w:rPr>
        <w:t>评选人对参选文件在邮寄过程中的遗失或损坏不负责任。</w:t>
      </w:r>
    </w:p>
    <w:p>
      <w:pPr>
        <w:pStyle w:val="17"/>
        <w:numPr>
          <w:ilvl w:val="0"/>
          <w:numId w:val="10"/>
        </w:numPr>
        <w:spacing w:line="360" w:lineRule="auto"/>
        <w:ind w:firstLineChars="0"/>
      </w:pPr>
      <w:r>
        <w:rPr>
          <w:rFonts w:hint="eastAsia"/>
        </w:rPr>
        <w:t>评选人可以接受参选银行在参选文件递交后书面提出修改和撤标要求（加盖公章，但不退还参选文件）。修改后或撤标后重新申请提交参选的，则需重新提供全套参选文件。</w:t>
      </w:r>
    </w:p>
    <w:p>
      <w:pPr>
        <w:pStyle w:val="17"/>
        <w:numPr>
          <w:ilvl w:val="0"/>
          <w:numId w:val="10"/>
        </w:numPr>
        <w:spacing w:line="360" w:lineRule="auto"/>
        <w:ind w:firstLineChars="0"/>
      </w:pPr>
      <w:r>
        <w:rPr>
          <w:rFonts w:hint="eastAsia"/>
        </w:rPr>
        <w:t>评选后参选银行不得撤回参选申请。</w:t>
      </w:r>
    </w:p>
    <w:p>
      <w:pPr>
        <w:pStyle w:val="17"/>
        <w:spacing w:line="360" w:lineRule="auto"/>
        <w:ind w:left="840" w:firstLine="0" w:firstLineChars="0"/>
      </w:pPr>
    </w:p>
    <w:p>
      <w:pPr>
        <w:spacing w:line="360" w:lineRule="auto"/>
        <w:ind w:firstLine="435"/>
        <w:rPr>
          <w:rFonts w:ascii="宋体" w:hAnsi="宋体"/>
          <w:b/>
          <w:szCs w:val="21"/>
        </w:rPr>
      </w:pPr>
      <w:r>
        <w:rPr>
          <w:rFonts w:hint="eastAsia" w:ascii="宋体" w:hAnsi="宋体"/>
          <w:b/>
          <w:szCs w:val="21"/>
        </w:rPr>
        <w:t>四、评选及获选</w:t>
      </w:r>
    </w:p>
    <w:p>
      <w:pPr>
        <w:pStyle w:val="17"/>
        <w:numPr>
          <w:ilvl w:val="0"/>
          <w:numId w:val="11"/>
        </w:numPr>
        <w:spacing w:line="360" w:lineRule="auto"/>
        <w:ind w:firstLineChars="0"/>
        <w:rPr>
          <w:b/>
        </w:rPr>
      </w:pPr>
      <w:r>
        <w:rPr>
          <w:rFonts w:hint="eastAsia"/>
          <w:b/>
        </w:rPr>
        <w:t>初审</w:t>
      </w:r>
    </w:p>
    <w:p>
      <w:pPr>
        <w:spacing w:line="360" w:lineRule="auto"/>
        <w:ind w:left="420" w:firstLine="420" w:firstLineChars="200"/>
      </w:pPr>
      <w:r>
        <w:rPr>
          <w:rFonts w:hint="eastAsia" w:ascii="宋体" w:hAnsi="宋体"/>
          <w:szCs w:val="21"/>
        </w:rPr>
        <w:t>初审内容为参选文件是否符合招标文件要求、内容是否完整、文件签署是否齐全等。</w:t>
      </w:r>
    </w:p>
    <w:p>
      <w:pPr>
        <w:spacing w:line="360" w:lineRule="auto"/>
        <w:ind w:left="420"/>
      </w:pPr>
    </w:p>
    <w:p>
      <w:pPr>
        <w:pStyle w:val="17"/>
        <w:numPr>
          <w:ilvl w:val="0"/>
          <w:numId w:val="11"/>
        </w:numPr>
        <w:spacing w:line="360" w:lineRule="auto"/>
        <w:ind w:firstLineChars="0"/>
        <w:rPr>
          <w:b/>
        </w:rPr>
      </w:pPr>
      <w:r>
        <w:rPr>
          <w:rFonts w:hint="eastAsia"/>
          <w:b/>
        </w:rPr>
        <w:t>参选的澄清</w:t>
      </w:r>
    </w:p>
    <w:p>
      <w:pPr>
        <w:pStyle w:val="17"/>
        <w:numPr>
          <w:ilvl w:val="0"/>
          <w:numId w:val="12"/>
        </w:numPr>
        <w:spacing w:before="156" w:beforeLines="50" w:line="360" w:lineRule="auto"/>
        <w:ind w:firstLineChars="0"/>
        <w:rPr>
          <w:rFonts w:ascii="宋体" w:hAnsi="宋体"/>
        </w:rPr>
      </w:pPr>
      <w:r>
        <w:rPr>
          <w:rFonts w:hint="eastAsia" w:ascii="宋体" w:hAnsi="宋体"/>
        </w:rPr>
        <w:t>评选人有权就参选文件中不明确之处向参选银行提出询问或澄清要求。参选银行必须按照通知的时间、地点进行答疑和澄清。且评选人有权要求参选银行就需澄清的问题作书面回答，该书面答复应有参选银行授权代表的签章，并作为参选文件内容的一部分。</w:t>
      </w:r>
    </w:p>
    <w:p>
      <w:pPr>
        <w:pStyle w:val="17"/>
        <w:numPr>
          <w:ilvl w:val="0"/>
          <w:numId w:val="12"/>
        </w:numPr>
        <w:spacing w:before="156" w:beforeLines="50" w:line="360" w:lineRule="auto"/>
        <w:ind w:firstLineChars="0"/>
        <w:rPr>
          <w:rFonts w:ascii="宋体" w:hAnsi="宋体"/>
        </w:rPr>
      </w:pPr>
      <w:r>
        <w:rPr>
          <w:rFonts w:hint="eastAsia" w:ascii="宋体" w:hAnsi="宋体"/>
        </w:rPr>
        <w:t>参选银行对参选文件的澄清不得改变参选的实质性内容。</w:t>
      </w:r>
    </w:p>
    <w:p>
      <w:pPr>
        <w:spacing w:line="360" w:lineRule="auto"/>
        <w:ind w:left="420"/>
      </w:pPr>
    </w:p>
    <w:p>
      <w:pPr>
        <w:pStyle w:val="17"/>
        <w:numPr>
          <w:ilvl w:val="0"/>
          <w:numId w:val="11"/>
        </w:numPr>
        <w:spacing w:line="360" w:lineRule="auto"/>
        <w:ind w:firstLineChars="0"/>
        <w:rPr>
          <w:b/>
        </w:rPr>
      </w:pPr>
      <w:r>
        <w:rPr>
          <w:rFonts w:hint="eastAsia"/>
          <w:b/>
        </w:rPr>
        <w:t>评选</w:t>
      </w:r>
    </w:p>
    <w:p>
      <w:pPr>
        <w:pStyle w:val="17"/>
        <w:numPr>
          <w:ilvl w:val="0"/>
          <w:numId w:val="13"/>
        </w:numPr>
        <w:spacing w:line="360" w:lineRule="auto"/>
        <w:ind w:firstLineChars="0"/>
        <w:rPr>
          <w:rFonts w:ascii="宋体" w:hAnsi="宋体"/>
          <w:szCs w:val="21"/>
        </w:rPr>
      </w:pPr>
      <w:r>
        <w:rPr>
          <w:rFonts w:hint="eastAsia" w:ascii="宋体" w:hAnsi="宋体"/>
          <w:szCs w:val="21"/>
        </w:rPr>
        <w:t>评选方根据《宝安区产业投资引导基金管理办法（修订版）》及评选人内部规章制度</w:t>
      </w:r>
      <w:r>
        <w:rPr>
          <w:rFonts w:hint="eastAsia" w:ascii="宋体" w:hAnsi="宋体"/>
        </w:rPr>
        <w:t>等有关规定</w:t>
      </w:r>
      <w:r>
        <w:rPr>
          <w:rFonts w:hint="eastAsia" w:ascii="宋体" w:hAnsi="宋体"/>
          <w:szCs w:val="21"/>
        </w:rPr>
        <w:t>组建评选小组，对具备实质性响应的参选文件进行综合评审。</w:t>
      </w:r>
    </w:p>
    <w:p>
      <w:pPr>
        <w:pStyle w:val="17"/>
        <w:numPr>
          <w:ilvl w:val="0"/>
          <w:numId w:val="13"/>
        </w:numPr>
        <w:spacing w:line="360" w:lineRule="auto"/>
        <w:ind w:firstLineChars="0"/>
        <w:rPr>
          <w:rFonts w:ascii="宋体" w:hAnsi="宋体"/>
          <w:szCs w:val="21"/>
        </w:rPr>
      </w:pPr>
      <w:r>
        <w:rPr>
          <w:rFonts w:hint="eastAsia" w:ascii="宋体" w:hAnsi="宋体"/>
          <w:szCs w:val="21"/>
        </w:rPr>
        <w:t>评选小组对各参选银行的评价将遵循“公平、择优”的原则，采用相同的程序和标准。</w:t>
      </w:r>
    </w:p>
    <w:p>
      <w:pPr>
        <w:pStyle w:val="17"/>
        <w:numPr>
          <w:ilvl w:val="0"/>
          <w:numId w:val="13"/>
        </w:numPr>
        <w:spacing w:line="360" w:lineRule="auto"/>
        <w:ind w:firstLineChars="0"/>
        <w:rPr>
          <w:rFonts w:ascii="宋体" w:hAnsi="宋体"/>
          <w:szCs w:val="21"/>
        </w:rPr>
      </w:pPr>
      <w:r>
        <w:rPr>
          <w:rFonts w:hint="eastAsia" w:ascii="宋体" w:hAnsi="宋体"/>
          <w:szCs w:val="21"/>
        </w:rPr>
        <w:t>评选过程严格保密。</w:t>
      </w:r>
    </w:p>
    <w:p>
      <w:pPr>
        <w:spacing w:line="360" w:lineRule="auto"/>
        <w:rPr>
          <w:rFonts w:ascii="宋体" w:hAnsi="宋体"/>
          <w:szCs w:val="21"/>
        </w:rPr>
      </w:pPr>
    </w:p>
    <w:p>
      <w:pPr>
        <w:pStyle w:val="17"/>
        <w:numPr>
          <w:ilvl w:val="0"/>
          <w:numId w:val="11"/>
        </w:numPr>
        <w:spacing w:line="360" w:lineRule="auto"/>
        <w:ind w:firstLineChars="0"/>
        <w:rPr>
          <w:b/>
        </w:rPr>
      </w:pPr>
      <w:r>
        <w:rPr>
          <w:rFonts w:hint="eastAsia"/>
          <w:b/>
        </w:rPr>
        <w:t>获选</w:t>
      </w:r>
    </w:p>
    <w:p>
      <w:pPr>
        <w:pStyle w:val="17"/>
        <w:numPr>
          <w:ilvl w:val="0"/>
          <w:numId w:val="14"/>
        </w:numPr>
        <w:spacing w:line="360" w:lineRule="auto"/>
        <w:ind w:firstLineChars="0"/>
        <w:rPr>
          <w:rFonts w:ascii="宋体" w:hAnsi="宋体"/>
          <w:szCs w:val="21"/>
        </w:rPr>
      </w:pPr>
      <w:r>
        <w:rPr>
          <w:rFonts w:hint="eastAsia" w:ascii="宋体" w:hAnsi="宋体"/>
          <w:szCs w:val="21"/>
        </w:rPr>
        <w:t>评选小组进行评选时将采用综合评分法，评分标准详见附件</w:t>
      </w:r>
      <w:r>
        <w:rPr>
          <w:rFonts w:hint="eastAsia" w:ascii="宋体" w:hAnsi="宋体"/>
          <w:szCs w:val="21"/>
          <w:lang w:val="en-US" w:eastAsia="zh-CN"/>
        </w:rPr>
        <w:t>3</w:t>
      </w:r>
      <w:r>
        <w:rPr>
          <w:rFonts w:hint="eastAsia" w:ascii="宋体" w:hAnsi="宋体"/>
          <w:szCs w:val="21"/>
        </w:rPr>
        <w:t>，得分最高者即为获选机构。</w:t>
      </w:r>
    </w:p>
    <w:p>
      <w:pPr>
        <w:pStyle w:val="17"/>
        <w:numPr>
          <w:ilvl w:val="0"/>
          <w:numId w:val="14"/>
        </w:numPr>
        <w:spacing w:line="360" w:lineRule="auto"/>
        <w:ind w:firstLineChars="0"/>
      </w:pPr>
      <w:r>
        <w:rPr>
          <w:rFonts w:hint="eastAsia"/>
        </w:rPr>
        <w:t>评选方通过其官方网站及其股东官方网站公布评选结果，不再以书面形式通知获选机构。</w:t>
      </w:r>
    </w:p>
    <w:p>
      <w:pPr>
        <w:pStyle w:val="17"/>
        <w:numPr>
          <w:ilvl w:val="0"/>
          <w:numId w:val="14"/>
        </w:numPr>
        <w:spacing w:line="360" w:lineRule="auto"/>
        <w:ind w:firstLineChars="0"/>
      </w:pPr>
      <w:r>
        <w:rPr>
          <w:rFonts w:hint="eastAsia"/>
        </w:rPr>
        <w:t>评选方对其他机构落选原因不做解释。</w:t>
      </w:r>
    </w:p>
    <w:p>
      <w:pPr>
        <w:spacing w:line="360" w:lineRule="auto"/>
        <w:rPr>
          <w:b/>
        </w:rPr>
      </w:pPr>
    </w:p>
    <w:p>
      <w:pPr>
        <w:pStyle w:val="17"/>
        <w:numPr>
          <w:ilvl w:val="0"/>
          <w:numId w:val="11"/>
        </w:numPr>
        <w:spacing w:line="360" w:lineRule="auto"/>
        <w:ind w:firstLineChars="0"/>
        <w:rPr>
          <w:b/>
        </w:rPr>
      </w:pPr>
      <w:r>
        <w:rPr>
          <w:rFonts w:hint="eastAsia"/>
          <w:b/>
        </w:rPr>
        <w:t>协议签订</w:t>
      </w:r>
    </w:p>
    <w:p>
      <w:pPr>
        <w:spacing w:line="360" w:lineRule="auto"/>
        <w:ind w:left="420" w:firstLine="420" w:firstLineChars="200"/>
      </w:pPr>
      <w:r>
        <w:rPr>
          <w:rFonts w:hint="eastAsia"/>
        </w:rPr>
        <w:t>在获选结果公示后的十个工作日内，获选机构需就托管费用价格、托管合同文本与评选方达成一致并完成托管协议的拟定、签署以及账户的开立，并在十五个工作日内进行托管的起始运作。若因获选方的原因未能在时间内完成所述事项，评选方有权取消其获选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ED1"/>
    <w:multiLevelType w:val="multilevel"/>
    <w:tmpl w:val="01525ED1"/>
    <w:lvl w:ilvl="0" w:tentative="0">
      <w:start w:val="1"/>
      <w:numFmt w:val="decimal"/>
      <w:lvlText w:val="%1."/>
      <w:lvlJc w:val="left"/>
      <w:pPr>
        <w:ind w:left="855" w:hanging="420"/>
      </w:pPr>
      <w:rPr>
        <w:rFonts w:asciiTheme="minorEastAsia" w:hAnsiTheme="minorEastAsia" w:eastAsiaTheme="minorEastAsia"/>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02743CB8"/>
    <w:multiLevelType w:val="multilevel"/>
    <w:tmpl w:val="02743CB8"/>
    <w:lvl w:ilvl="0" w:tentative="0">
      <w:start w:val="1"/>
      <w:numFmt w:val="chineseCountingThousand"/>
      <w:lvlText w:val="(%1)"/>
      <w:lvlJc w:val="left"/>
      <w:pPr>
        <w:ind w:left="840" w:hanging="420"/>
      </w:pPr>
      <w:rPr>
        <w:rFonts w:asciiTheme="minorEastAsia" w:hAnsiTheme="minorEastAsia" w:eastAsiaTheme="minorEastAsia"/>
        <w:b w:val="0"/>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B06128A"/>
    <w:multiLevelType w:val="multilevel"/>
    <w:tmpl w:val="0B0612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C7811AA"/>
    <w:multiLevelType w:val="multilevel"/>
    <w:tmpl w:val="0C7811AA"/>
    <w:lvl w:ilvl="0" w:tentative="0">
      <w:start w:val="1"/>
      <w:numFmt w:val="chineseCountingThousand"/>
      <w:lvlText w:val="(%1)"/>
      <w:lvlJc w:val="left"/>
      <w:pPr>
        <w:ind w:left="840" w:hanging="420"/>
      </w:pPr>
      <w:rPr>
        <w:rFonts w:asciiTheme="minorEastAsia" w:hAnsiTheme="minorEastAsia" w:eastAsiaTheme="minorEastAsia"/>
        <w:b w:val="0"/>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75015A6"/>
    <w:multiLevelType w:val="multilevel"/>
    <w:tmpl w:val="175015A6"/>
    <w:lvl w:ilvl="0" w:tentative="0">
      <w:start w:val="1"/>
      <w:numFmt w:val="chineseCountingThousand"/>
      <w:lvlText w:val="(%1)"/>
      <w:lvlJc w:val="left"/>
      <w:pPr>
        <w:ind w:left="855" w:hanging="420"/>
      </w:pPr>
      <w:rPr>
        <w:rFonts w:asciiTheme="minorEastAsia" w:hAnsiTheme="minorEastAsia" w:eastAsiaTheme="minorEastAsia"/>
        <w:b w:val="0"/>
        <w:bCs/>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5">
    <w:nsid w:val="4A69726A"/>
    <w:multiLevelType w:val="multilevel"/>
    <w:tmpl w:val="4A69726A"/>
    <w:lvl w:ilvl="0" w:tentative="0">
      <w:start w:val="1"/>
      <w:numFmt w:val="decimal"/>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CFF2AAD"/>
    <w:multiLevelType w:val="multilevel"/>
    <w:tmpl w:val="4CFF2AAD"/>
    <w:lvl w:ilvl="0" w:tentative="0">
      <w:start w:val="1"/>
      <w:numFmt w:val="decimal"/>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6B622B5"/>
    <w:multiLevelType w:val="multilevel"/>
    <w:tmpl w:val="66B622B5"/>
    <w:lvl w:ilvl="0" w:tentative="0">
      <w:start w:val="1"/>
      <w:numFmt w:val="decimal"/>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A1F7C44"/>
    <w:multiLevelType w:val="multilevel"/>
    <w:tmpl w:val="6A1F7C44"/>
    <w:lvl w:ilvl="0" w:tentative="0">
      <w:start w:val="1"/>
      <w:numFmt w:val="decimal"/>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4035E6F"/>
    <w:multiLevelType w:val="multilevel"/>
    <w:tmpl w:val="74035E6F"/>
    <w:lvl w:ilvl="0" w:tentative="0">
      <w:start w:val="1"/>
      <w:numFmt w:val="chineseCountingThousand"/>
      <w:lvlText w:val="(%1)"/>
      <w:lvlJc w:val="left"/>
      <w:pPr>
        <w:ind w:left="842" w:hanging="420"/>
      </w:pPr>
      <w:rPr>
        <w:rFonts w:asciiTheme="minorEastAsia" w:hAnsiTheme="minorEastAsia" w:eastAsiaTheme="minorEastAsia"/>
        <w:b w:val="0"/>
        <w:bC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0">
    <w:nsid w:val="77543668"/>
    <w:multiLevelType w:val="multilevel"/>
    <w:tmpl w:val="7754366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9C133BA"/>
    <w:multiLevelType w:val="multilevel"/>
    <w:tmpl w:val="79C133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9E638AB"/>
    <w:multiLevelType w:val="multilevel"/>
    <w:tmpl w:val="79E638A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C743E61"/>
    <w:multiLevelType w:val="multilevel"/>
    <w:tmpl w:val="7C743E61"/>
    <w:lvl w:ilvl="0" w:tentative="0">
      <w:start w:val="1"/>
      <w:numFmt w:val="decimal"/>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4"/>
  </w:num>
  <w:num w:numId="3">
    <w:abstractNumId w:val="0"/>
  </w:num>
  <w:num w:numId="4">
    <w:abstractNumId w:val="11"/>
  </w:num>
  <w:num w:numId="5">
    <w:abstractNumId w:val="5"/>
  </w:num>
  <w:num w:numId="6">
    <w:abstractNumId w:val="3"/>
  </w:num>
  <w:num w:numId="7">
    <w:abstractNumId w:val="12"/>
  </w:num>
  <w:num w:numId="8">
    <w:abstractNumId w:val="8"/>
  </w:num>
  <w:num w:numId="9">
    <w:abstractNumId w:val="7"/>
  </w:num>
  <w:num w:numId="10">
    <w:abstractNumId w:val="6"/>
  </w:num>
  <w:num w:numId="11">
    <w:abstractNumId w:val="1"/>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8F"/>
    <w:rsid w:val="00001330"/>
    <w:rsid w:val="0001775C"/>
    <w:rsid w:val="00032DD3"/>
    <w:rsid w:val="0003745E"/>
    <w:rsid w:val="00081E87"/>
    <w:rsid w:val="000838BA"/>
    <w:rsid w:val="000904FE"/>
    <w:rsid w:val="000B6529"/>
    <w:rsid w:val="000D2367"/>
    <w:rsid w:val="000E34DE"/>
    <w:rsid w:val="000F4D73"/>
    <w:rsid w:val="000F7616"/>
    <w:rsid w:val="001230CF"/>
    <w:rsid w:val="001341A8"/>
    <w:rsid w:val="00145A8A"/>
    <w:rsid w:val="00150C90"/>
    <w:rsid w:val="00150E27"/>
    <w:rsid w:val="0015413A"/>
    <w:rsid w:val="00190C9B"/>
    <w:rsid w:val="001A5412"/>
    <w:rsid w:val="001A6500"/>
    <w:rsid w:val="001B1F9C"/>
    <w:rsid w:val="001B4586"/>
    <w:rsid w:val="001C3E49"/>
    <w:rsid w:val="001F2C43"/>
    <w:rsid w:val="00206891"/>
    <w:rsid w:val="0022250C"/>
    <w:rsid w:val="00225302"/>
    <w:rsid w:val="00234414"/>
    <w:rsid w:val="00235974"/>
    <w:rsid w:val="002369CC"/>
    <w:rsid w:val="00236F20"/>
    <w:rsid w:val="00243F55"/>
    <w:rsid w:val="0024597C"/>
    <w:rsid w:val="0025407F"/>
    <w:rsid w:val="00256234"/>
    <w:rsid w:val="00261A8F"/>
    <w:rsid w:val="00262840"/>
    <w:rsid w:val="002677F5"/>
    <w:rsid w:val="00280A70"/>
    <w:rsid w:val="002C36A9"/>
    <w:rsid w:val="002C7045"/>
    <w:rsid w:val="002F72C4"/>
    <w:rsid w:val="003132C8"/>
    <w:rsid w:val="003227B7"/>
    <w:rsid w:val="00332D2E"/>
    <w:rsid w:val="00340877"/>
    <w:rsid w:val="00352258"/>
    <w:rsid w:val="003714F6"/>
    <w:rsid w:val="0038438E"/>
    <w:rsid w:val="003D29BE"/>
    <w:rsid w:val="003D57C1"/>
    <w:rsid w:val="003D5BD1"/>
    <w:rsid w:val="003D5F11"/>
    <w:rsid w:val="003E35FF"/>
    <w:rsid w:val="003F0A7E"/>
    <w:rsid w:val="003F2797"/>
    <w:rsid w:val="003F7057"/>
    <w:rsid w:val="00413D56"/>
    <w:rsid w:val="00416731"/>
    <w:rsid w:val="00446846"/>
    <w:rsid w:val="00450E37"/>
    <w:rsid w:val="00454BCA"/>
    <w:rsid w:val="004574CD"/>
    <w:rsid w:val="00470F51"/>
    <w:rsid w:val="00487C3B"/>
    <w:rsid w:val="0049317D"/>
    <w:rsid w:val="0049572F"/>
    <w:rsid w:val="0049740C"/>
    <w:rsid w:val="004A48B2"/>
    <w:rsid w:val="004B3023"/>
    <w:rsid w:val="004B6FF3"/>
    <w:rsid w:val="004E3033"/>
    <w:rsid w:val="004F0413"/>
    <w:rsid w:val="004F527D"/>
    <w:rsid w:val="005019CC"/>
    <w:rsid w:val="0050210C"/>
    <w:rsid w:val="00512F91"/>
    <w:rsid w:val="005241A8"/>
    <w:rsid w:val="00524FF4"/>
    <w:rsid w:val="0053362D"/>
    <w:rsid w:val="00535F55"/>
    <w:rsid w:val="00536A44"/>
    <w:rsid w:val="0055629C"/>
    <w:rsid w:val="005613FB"/>
    <w:rsid w:val="0056432A"/>
    <w:rsid w:val="005674C9"/>
    <w:rsid w:val="005930A5"/>
    <w:rsid w:val="005A701A"/>
    <w:rsid w:val="005C0B03"/>
    <w:rsid w:val="005D36C9"/>
    <w:rsid w:val="005D6110"/>
    <w:rsid w:val="005E6973"/>
    <w:rsid w:val="005F01D0"/>
    <w:rsid w:val="005F3C8F"/>
    <w:rsid w:val="006110C5"/>
    <w:rsid w:val="00613D4C"/>
    <w:rsid w:val="006641B7"/>
    <w:rsid w:val="0067709A"/>
    <w:rsid w:val="00677ECD"/>
    <w:rsid w:val="00681A54"/>
    <w:rsid w:val="006B4D4D"/>
    <w:rsid w:val="006C19E8"/>
    <w:rsid w:val="006F1732"/>
    <w:rsid w:val="00700C47"/>
    <w:rsid w:val="00723DE4"/>
    <w:rsid w:val="00727230"/>
    <w:rsid w:val="007326FF"/>
    <w:rsid w:val="00733236"/>
    <w:rsid w:val="00743B33"/>
    <w:rsid w:val="00756A6F"/>
    <w:rsid w:val="00757235"/>
    <w:rsid w:val="007640D7"/>
    <w:rsid w:val="007A6BB8"/>
    <w:rsid w:val="007B29AE"/>
    <w:rsid w:val="007B68C2"/>
    <w:rsid w:val="007C3F35"/>
    <w:rsid w:val="007C7BA3"/>
    <w:rsid w:val="007D64EC"/>
    <w:rsid w:val="007F2929"/>
    <w:rsid w:val="008055A6"/>
    <w:rsid w:val="008055DD"/>
    <w:rsid w:val="00823E9A"/>
    <w:rsid w:val="00833997"/>
    <w:rsid w:val="008822D3"/>
    <w:rsid w:val="00894C00"/>
    <w:rsid w:val="008E40DC"/>
    <w:rsid w:val="008F02B3"/>
    <w:rsid w:val="00903743"/>
    <w:rsid w:val="00910114"/>
    <w:rsid w:val="00911368"/>
    <w:rsid w:val="00927B84"/>
    <w:rsid w:val="00933E29"/>
    <w:rsid w:val="00934BD3"/>
    <w:rsid w:val="009361AE"/>
    <w:rsid w:val="00951A31"/>
    <w:rsid w:val="009546A4"/>
    <w:rsid w:val="009576AD"/>
    <w:rsid w:val="00973757"/>
    <w:rsid w:val="009907FF"/>
    <w:rsid w:val="009A13AE"/>
    <w:rsid w:val="009A57FF"/>
    <w:rsid w:val="009B0D9D"/>
    <w:rsid w:val="009B5A5D"/>
    <w:rsid w:val="009C06CB"/>
    <w:rsid w:val="009C3D9F"/>
    <w:rsid w:val="009C6634"/>
    <w:rsid w:val="009D4A03"/>
    <w:rsid w:val="009D52B8"/>
    <w:rsid w:val="009E7F14"/>
    <w:rsid w:val="00A00E83"/>
    <w:rsid w:val="00A02A39"/>
    <w:rsid w:val="00A03818"/>
    <w:rsid w:val="00A54A18"/>
    <w:rsid w:val="00A56E09"/>
    <w:rsid w:val="00A62F5B"/>
    <w:rsid w:val="00A63FBD"/>
    <w:rsid w:val="00A658F7"/>
    <w:rsid w:val="00A75663"/>
    <w:rsid w:val="00AB3533"/>
    <w:rsid w:val="00AE2B4E"/>
    <w:rsid w:val="00AE6729"/>
    <w:rsid w:val="00AF68C9"/>
    <w:rsid w:val="00B00B2D"/>
    <w:rsid w:val="00B01CA8"/>
    <w:rsid w:val="00B1069A"/>
    <w:rsid w:val="00B336C5"/>
    <w:rsid w:val="00B67794"/>
    <w:rsid w:val="00B715A3"/>
    <w:rsid w:val="00B76BC4"/>
    <w:rsid w:val="00B8235E"/>
    <w:rsid w:val="00B96066"/>
    <w:rsid w:val="00BA3A89"/>
    <w:rsid w:val="00BB694D"/>
    <w:rsid w:val="00BB7008"/>
    <w:rsid w:val="00BF43DC"/>
    <w:rsid w:val="00C071EF"/>
    <w:rsid w:val="00C167F6"/>
    <w:rsid w:val="00C1780B"/>
    <w:rsid w:val="00C24F05"/>
    <w:rsid w:val="00C45403"/>
    <w:rsid w:val="00C476BF"/>
    <w:rsid w:val="00C53AC7"/>
    <w:rsid w:val="00C75046"/>
    <w:rsid w:val="00C813FB"/>
    <w:rsid w:val="00C92A8F"/>
    <w:rsid w:val="00CE08EF"/>
    <w:rsid w:val="00CE7F90"/>
    <w:rsid w:val="00D061E4"/>
    <w:rsid w:val="00D121C3"/>
    <w:rsid w:val="00D13BB8"/>
    <w:rsid w:val="00D44007"/>
    <w:rsid w:val="00D55BEA"/>
    <w:rsid w:val="00D86CD4"/>
    <w:rsid w:val="00DB0A28"/>
    <w:rsid w:val="00DF0671"/>
    <w:rsid w:val="00E100B2"/>
    <w:rsid w:val="00E20EFC"/>
    <w:rsid w:val="00E33800"/>
    <w:rsid w:val="00E478F3"/>
    <w:rsid w:val="00E558C5"/>
    <w:rsid w:val="00E777F4"/>
    <w:rsid w:val="00E778EB"/>
    <w:rsid w:val="00E8748C"/>
    <w:rsid w:val="00E87EF2"/>
    <w:rsid w:val="00E9594E"/>
    <w:rsid w:val="00E9667E"/>
    <w:rsid w:val="00E97BD0"/>
    <w:rsid w:val="00EA2917"/>
    <w:rsid w:val="00EA686B"/>
    <w:rsid w:val="00EA7E4F"/>
    <w:rsid w:val="00EB33FC"/>
    <w:rsid w:val="00EC4D30"/>
    <w:rsid w:val="00ED1EF6"/>
    <w:rsid w:val="00EF6F9D"/>
    <w:rsid w:val="00EF7863"/>
    <w:rsid w:val="00F22737"/>
    <w:rsid w:val="00F23EEC"/>
    <w:rsid w:val="00F303A6"/>
    <w:rsid w:val="00F31DEB"/>
    <w:rsid w:val="00F32E78"/>
    <w:rsid w:val="00F46456"/>
    <w:rsid w:val="00F54FFC"/>
    <w:rsid w:val="00F97E9C"/>
    <w:rsid w:val="00FA0315"/>
    <w:rsid w:val="00FA06A5"/>
    <w:rsid w:val="00FA6A1A"/>
    <w:rsid w:val="00FD2E88"/>
    <w:rsid w:val="00FD5BAA"/>
    <w:rsid w:val="00FF0DB0"/>
    <w:rsid w:val="00FF6D2C"/>
    <w:rsid w:val="0C1445DB"/>
    <w:rsid w:val="113768D6"/>
    <w:rsid w:val="5E1C22F3"/>
    <w:rsid w:val="6F31263E"/>
    <w:rsid w:val="7E841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rPr>
  </w:style>
  <w:style w:type="paragraph" w:styleId="4">
    <w:name w:val="annotation text"/>
    <w:basedOn w:val="1"/>
    <w:link w:val="21"/>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18"/>
    <w:qFormat/>
    <w:uiPriority w:val="0"/>
    <w:rPr>
      <w:rFonts w:ascii="宋体" w:hAnsi="Courier New" w:cstheme="minorBidi"/>
      <w:szCs w:val="22"/>
    </w:rPr>
  </w:style>
  <w:style w:type="paragraph" w:styleId="7">
    <w:name w:val="Balloon Text"/>
    <w:basedOn w:val="1"/>
    <w:link w:val="20"/>
    <w:semiHidden/>
    <w:unhideWhenUsed/>
    <w:qFormat/>
    <w:uiPriority w:val="99"/>
    <w:rPr>
      <w:rFonts w:ascii="宋体"/>
      <w:sz w:val="18"/>
      <w:szCs w:val="18"/>
    </w:rPr>
  </w:style>
  <w:style w:type="paragraph" w:styleId="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0">
    <w:name w:val="annotation subject"/>
    <w:basedOn w:val="4"/>
    <w:next w:val="4"/>
    <w:link w:val="22"/>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qFormat/>
    <w:uiPriority w:val="0"/>
    <w:rPr>
      <w:sz w:val="21"/>
      <w:szCs w:val="21"/>
    </w:rPr>
  </w:style>
  <w:style w:type="character" w:customStyle="1" w:styleId="15">
    <w:name w:val="标题 1 字符"/>
    <w:basedOn w:val="12"/>
    <w:link w:val="2"/>
    <w:qFormat/>
    <w:uiPriority w:val="9"/>
    <w:rPr>
      <w:rFonts w:ascii="Times New Roman" w:hAnsi="Times New Roman" w:eastAsia="宋体" w:cs="Times New Roman"/>
      <w:b/>
      <w:bCs/>
      <w:kern w:val="44"/>
      <w:sz w:val="44"/>
      <w:szCs w:val="44"/>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纯文本 字符"/>
    <w:basedOn w:val="12"/>
    <w:link w:val="6"/>
    <w:qFormat/>
    <w:locked/>
    <w:uiPriority w:val="0"/>
    <w:rPr>
      <w:rFonts w:ascii="宋体" w:hAnsi="Courier New" w:eastAsia="宋体"/>
    </w:rPr>
  </w:style>
  <w:style w:type="character" w:customStyle="1" w:styleId="19">
    <w:name w:val="纯文本 Char1"/>
    <w:basedOn w:val="12"/>
    <w:semiHidden/>
    <w:qFormat/>
    <w:uiPriority w:val="99"/>
    <w:rPr>
      <w:rFonts w:ascii="宋体" w:hAnsi="Courier New" w:eastAsia="宋体" w:cs="Courier New"/>
      <w:szCs w:val="21"/>
    </w:rPr>
  </w:style>
  <w:style w:type="character" w:customStyle="1" w:styleId="20">
    <w:name w:val="批注框文本 字符"/>
    <w:basedOn w:val="12"/>
    <w:link w:val="7"/>
    <w:semiHidden/>
    <w:qFormat/>
    <w:uiPriority w:val="99"/>
    <w:rPr>
      <w:rFonts w:ascii="宋体" w:hAnsi="Times New Roman" w:eastAsia="宋体" w:cs="Times New Roman"/>
      <w:sz w:val="18"/>
      <w:szCs w:val="18"/>
    </w:rPr>
  </w:style>
  <w:style w:type="character" w:customStyle="1" w:styleId="21">
    <w:name w:val="批注文字 字符"/>
    <w:basedOn w:val="12"/>
    <w:link w:val="4"/>
    <w:semiHidden/>
    <w:qFormat/>
    <w:uiPriority w:val="99"/>
    <w:rPr>
      <w:rFonts w:ascii="Times New Roman" w:hAnsi="Times New Roman" w:eastAsia="宋体" w:cs="Times New Roman"/>
      <w:szCs w:val="20"/>
    </w:rPr>
  </w:style>
  <w:style w:type="character" w:customStyle="1" w:styleId="22">
    <w:name w:val="批注主题 字符"/>
    <w:basedOn w:val="21"/>
    <w:link w:val="10"/>
    <w:semiHidden/>
    <w:qFormat/>
    <w:uiPriority w:val="99"/>
    <w:rPr>
      <w:rFonts w:ascii="Times New Roman" w:hAnsi="Times New Roman" w:eastAsia="宋体" w:cs="Times New Roman"/>
      <w:b/>
      <w:bCs/>
      <w:szCs w:val="20"/>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 w:type="paragraph" w:customStyle="1" w:styleId="24">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D304D-31DA-A14B-97BD-3D19C646CA48}">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Words>
  <Characters>1476</Characters>
  <Lines>12</Lines>
  <Paragraphs>3</Paragraphs>
  <TotalTime>194</TotalTime>
  <ScaleCrop>false</ScaleCrop>
  <LinksUpToDate>false</LinksUpToDate>
  <CharactersWithSpaces>1731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2020-08-19T01:39:00Z</dcterms:created>
  <dc:creator>刘家诚/01175848</dc:creator>
  <cp:lastModifiedBy>             Alyssa 叶✨</cp:lastModifiedBy>
  <cp:lastPrinted>2020-09-03T06:55:00Z</cp:lastPrinted>
  <dcterms:modified xsi:type="dcterms:W3CDTF">2020-09-03T09:34:28Z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